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AAD" w14:textId="77777777" w:rsidR="00EB473F" w:rsidRPr="000D736E" w:rsidRDefault="00EB473F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  <w:sz w:val="22"/>
          <w:szCs w:val="22"/>
        </w:rPr>
      </w:pPr>
      <w:r w:rsidRPr="000D736E">
        <w:rPr>
          <w:b/>
          <w:sz w:val="22"/>
          <w:szCs w:val="22"/>
        </w:rPr>
        <w:t>94-411</w:t>
      </w:r>
      <w:r w:rsidRPr="000D736E">
        <w:rPr>
          <w:b/>
          <w:sz w:val="22"/>
          <w:szCs w:val="22"/>
        </w:rPr>
        <w:tab/>
      </w:r>
      <w:r w:rsidRPr="000D736E">
        <w:rPr>
          <w:b/>
          <w:sz w:val="22"/>
          <w:szCs w:val="22"/>
        </w:rPr>
        <w:tab/>
        <w:t xml:space="preserve">MAINE </w:t>
      </w:r>
      <w:r w:rsidR="00621665" w:rsidRPr="000D736E">
        <w:rPr>
          <w:b/>
          <w:sz w:val="22"/>
          <w:szCs w:val="22"/>
        </w:rPr>
        <w:t xml:space="preserve">PUBLIC EMPLOYEES </w:t>
      </w:r>
      <w:r w:rsidRPr="000D736E">
        <w:rPr>
          <w:b/>
          <w:sz w:val="22"/>
          <w:szCs w:val="22"/>
        </w:rPr>
        <w:t>RETIREMENT SYSTEM</w:t>
      </w:r>
    </w:p>
    <w:p w14:paraId="3595B9BD" w14:textId="77777777" w:rsidR="00EB473F" w:rsidRPr="000D736E" w:rsidRDefault="00EB473F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  <w:sz w:val="22"/>
          <w:szCs w:val="22"/>
        </w:rPr>
      </w:pPr>
    </w:p>
    <w:p w14:paraId="34E64988" w14:textId="1E533D9C" w:rsidR="00DD2D58" w:rsidRPr="000D736E" w:rsidRDefault="005D2EF5" w:rsidP="00E073A1">
      <w:pPr>
        <w:tabs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0D736E">
        <w:rPr>
          <w:b/>
          <w:sz w:val="22"/>
          <w:szCs w:val="22"/>
        </w:rPr>
        <w:t>C</w:t>
      </w:r>
      <w:r w:rsidR="00EB473F" w:rsidRPr="000D736E">
        <w:rPr>
          <w:b/>
          <w:sz w:val="22"/>
          <w:szCs w:val="22"/>
        </w:rPr>
        <w:t>hapter</w:t>
      </w:r>
      <w:r w:rsidRPr="000D736E">
        <w:rPr>
          <w:b/>
          <w:sz w:val="22"/>
          <w:szCs w:val="22"/>
        </w:rPr>
        <w:t xml:space="preserve"> </w:t>
      </w:r>
      <w:r w:rsidR="00E073A1">
        <w:rPr>
          <w:b/>
          <w:sz w:val="22"/>
          <w:szCs w:val="22"/>
        </w:rPr>
        <w:t>513</w:t>
      </w:r>
      <w:r w:rsidR="00EB473F" w:rsidRPr="000D736E">
        <w:rPr>
          <w:b/>
          <w:sz w:val="22"/>
          <w:szCs w:val="22"/>
        </w:rPr>
        <w:t>:</w:t>
      </w:r>
      <w:r w:rsidR="00EB473F" w:rsidRPr="000D736E">
        <w:rPr>
          <w:b/>
          <w:sz w:val="22"/>
          <w:szCs w:val="22"/>
        </w:rPr>
        <w:tab/>
      </w:r>
      <w:r w:rsidR="00E073A1">
        <w:rPr>
          <w:b/>
          <w:sz w:val="22"/>
          <w:szCs w:val="22"/>
        </w:rPr>
        <w:t xml:space="preserve">DISABILITY RETIREMENT </w:t>
      </w:r>
      <w:r w:rsidR="00564376">
        <w:rPr>
          <w:b/>
          <w:sz w:val="22"/>
          <w:szCs w:val="22"/>
        </w:rPr>
        <w:t xml:space="preserve">COMPENSATION </w:t>
      </w:r>
      <w:r w:rsidR="00E073A1">
        <w:rPr>
          <w:b/>
          <w:sz w:val="22"/>
          <w:szCs w:val="22"/>
        </w:rPr>
        <w:t>LIMITATIONS AND BENEFIT OFFSETS</w:t>
      </w:r>
      <w:r w:rsidR="006C3802" w:rsidRPr="00CE0C38">
        <w:rPr>
          <w:b/>
        </w:rPr>
        <w:t xml:space="preserve"> </w:t>
      </w:r>
    </w:p>
    <w:p w14:paraId="6D0F61D0" w14:textId="7A583009" w:rsidR="006C3802" w:rsidRDefault="006C3802" w:rsidP="00CF5F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CF5F44">
        <w:rPr>
          <w:sz w:val="22"/>
          <w:szCs w:val="22"/>
        </w:rPr>
        <w:t>__________________________________</w:t>
      </w:r>
    </w:p>
    <w:p w14:paraId="5FF12E73" w14:textId="77777777" w:rsidR="00CF5F44" w:rsidRDefault="00CF5F44" w:rsidP="00CF5F44">
      <w:pPr>
        <w:jc w:val="both"/>
      </w:pPr>
    </w:p>
    <w:p w14:paraId="67AAAD8D" w14:textId="343FF32A" w:rsidR="0051611C" w:rsidRPr="000D736E" w:rsidRDefault="0051611C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 w:rsidRPr="000D736E">
        <w:rPr>
          <w:b/>
          <w:sz w:val="22"/>
          <w:szCs w:val="22"/>
        </w:rPr>
        <w:t>SUMMARY:</w:t>
      </w:r>
      <w:r w:rsidR="00EB473F" w:rsidRPr="000D736E">
        <w:rPr>
          <w:sz w:val="22"/>
          <w:szCs w:val="22"/>
        </w:rPr>
        <w:t xml:space="preserve"> </w:t>
      </w:r>
      <w:r w:rsidR="0095325A" w:rsidRPr="000D736E">
        <w:rPr>
          <w:sz w:val="22"/>
          <w:szCs w:val="22"/>
        </w:rPr>
        <w:t xml:space="preserve">This Chapter </w:t>
      </w:r>
      <w:r w:rsidR="00E073A1">
        <w:rPr>
          <w:sz w:val="22"/>
          <w:szCs w:val="22"/>
        </w:rPr>
        <w:t xml:space="preserve">provides guidance on </w:t>
      </w:r>
      <w:r w:rsidR="00564376">
        <w:rPr>
          <w:sz w:val="22"/>
          <w:szCs w:val="22"/>
        </w:rPr>
        <w:t xml:space="preserve">compensation </w:t>
      </w:r>
      <w:r w:rsidR="00E073A1">
        <w:rPr>
          <w:sz w:val="22"/>
          <w:szCs w:val="22"/>
        </w:rPr>
        <w:t xml:space="preserve">limitations and offsets </w:t>
      </w:r>
      <w:r w:rsidR="00CB48B3">
        <w:rPr>
          <w:sz w:val="22"/>
          <w:szCs w:val="22"/>
        </w:rPr>
        <w:t>applicable to</w:t>
      </w:r>
      <w:r w:rsidR="00E073A1">
        <w:rPr>
          <w:sz w:val="22"/>
          <w:szCs w:val="22"/>
        </w:rPr>
        <w:t xml:space="preserve"> disability retirement </w:t>
      </w:r>
      <w:r w:rsidR="00CB48B3">
        <w:rPr>
          <w:sz w:val="22"/>
          <w:szCs w:val="22"/>
        </w:rPr>
        <w:t xml:space="preserve">benefits </w:t>
      </w:r>
      <w:r w:rsidR="00E073A1">
        <w:rPr>
          <w:sz w:val="22"/>
          <w:szCs w:val="22"/>
        </w:rPr>
        <w:t xml:space="preserve">and the submission of annual statements of compensation by </w:t>
      </w:r>
      <w:r w:rsidR="00CB48B3">
        <w:rPr>
          <w:sz w:val="22"/>
          <w:szCs w:val="22"/>
        </w:rPr>
        <w:t>disability retirees.</w:t>
      </w:r>
    </w:p>
    <w:p w14:paraId="19D0D8A3" w14:textId="77777777" w:rsidR="0051611C" w:rsidRPr="000D736E" w:rsidRDefault="0051611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7C139F0E" w14:textId="77777777" w:rsidR="00EB473F" w:rsidRPr="000D736E" w:rsidRDefault="00EB473F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17C9E4FC" w14:textId="77777777" w:rsidR="00EB473F" w:rsidRPr="000D736E" w:rsidRDefault="00EB473F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376245A1" w14:textId="55E7E15D" w:rsidR="0051611C" w:rsidRPr="000D736E" w:rsidRDefault="006F2DEE" w:rsidP="00CF5F44">
      <w:pPr>
        <w:pStyle w:val="Heading1"/>
        <w:jc w:val="both"/>
      </w:pPr>
      <w:r w:rsidRPr="000D736E">
        <w:t>SECTION</w:t>
      </w:r>
      <w:r w:rsidR="0051611C" w:rsidRPr="000D736E">
        <w:t xml:space="preserve"> 1.</w:t>
      </w:r>
      <w:r w:rsidR="005D2EF5" w:rsidRPr="000D736E">
        <w:tab/>
      </w:r>
      <w:r w:rsidR="00CB48B3">
        <w:t>DEFINITION</w:t>
      </w:r>
      <w:r w:rsidR="003816E3">
        <w:t>S</w:t>
      </w:r>
    </w:p>
    <w:p w14:paraId="75B98A2A" w14:textId="69F65F5F" w:rsidR="0095325A" w:rsidRPr="000D736E" w:rsidRDefault="0095325A" w:rsidP="00CF5F44">
      <w:pPr>
        <w:jc w:val="both"/>
        <w:rPr>
          <w:sz w:val="22"/>
          <w:szCs w:val="22"/>
        </w:rPr>
      </w:pPr>
    </w:p>
    <w:p w14:paraId="1799A844" w14:textId="54B73763" w:rsidR="003816E3" w:rsidRDefault="0008460C" w:rsidP="003816E3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Earnings</w:t>
      </w:r>
      <w:r w:rsidRPr="000D736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“Earnings” as used in this Chapter means wages, tips, and other compensation from employment </w:t>
      </w:r>
      <w:r w:rsidR="00CF329F">
        <w:rPr>
          <w:sz w:val="22"/>
          <w:szCs w:val="22"/>
        </w:rPr>
        <w:t xml:space="preserve">that is </w:t>
      </w:r>
      <w:r w:rsidR="008656F3">
        <w:rPr>
          <w:sz w:val="22"/>
          <w:szCs w:val="22"/>
        </w:rPr>
        <w:t xml:space="preserve">reported as </w:t>
      </w:r>
      <w:r w:rsidR="00241484">
        <w:rPr>
          <w:sz w:val="22"/>
          <w:szCs w:val="22"/>
        </w:rPr>
        <w:t>Medicare wages and tips</w:t>
      </w:r>
      <w:r w:rsidR="00081B3E">
        <w:rPr>
          <w:sz w:val="22"/>
          <w:szCs w:val="22"/>
        </w:rPr>
        <w:t xml:space="preserve"> </w:t>
      </w:r>
      <w:r w:rsidR="008656F3">
        <w:rPr>
          <w:sz w:val="22"/>
          <w:szCs w:val="22"/>
        </w:rPr>
        <w:t xml:space="preserve">on </w:t>
      </w:r>
      <w:r w:rsidR="00E02462">
        <w:rPr>
          <w:sz w:val="22"/>
          <w:szCs w:val="22"/>
        </w:rPr>
        <w:t>federal</w:t>
      </w:r>
      <w:r w:rsidR="008656F3">
        <w:rPr>
          <w:sz w:val="22"/>
          <w:szCs w:val="22"/>
        </w:rPr>
        <w:t xml:space="preserve"> W-2</w:t>
      </w:r>
      <w:r w:rsidR="00E02462">
        <w:rPr>
          <w:sz w:val="22"/>
          <w:szCs w:val="22"/>
        </w:rPr>
        <w:t xml:space="preserve"> tax forms</w:t>
      </w:r>
      <w:r w:rsidR="00CF32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income that is </w:t>
      </w:r>
      <w:r w:rsidR="00E02462">
        <w:rPr>
          <w:sz w:val="22"/>
          <w:szCs w:val="22"/>
        </w:rPr>
        <w:t xml:space="preserve">reported on federal self-employment tax schedules as </w:t>
      </w:r>
      <w:r>
        <w:rPr>
          <w:sz w:val="22"/>
          <w:szCs w:val="22"/>
        </w:rPr>
        <w:t xml:space="preserve">subject to </w:t>
      </w:r>
      <w:r w:rsidR="00E02462">
        <w:rPr>
          <w:sz w:val="22"/>
          <w:szCs w:val="22"/>
        </w:rPr>
        <w:t>self-employment</w:t>
      </w:r>
      <w:r>
        <w:rPr>
          <w:sz w:val="22"/>
          <w:szCs w:val="22"/>
        </w:rPr>
        <w:t xml:space="preserve"> tax.  Unless the context indicates otherwise, “compensation” received </w:t>
      </w:r>
      <w:r w:rsidRPr="002A118C">
        <w:rPr>
          <w:sz w:val="22"/>
          <w:szCs w:val="22"/>
        </w:rPr>
        <w:t>from engaging in any gainful activity</w:t>
      </w:r>
      <w:r>
        <w:rPr>
          <w:sz w:val="22"/>
          <w:szCs w:val="22"/>
        </w:rPr>
        <w:t>, occupation, or employment as used in Title 5, Sections 17930 or 18530 has the same meaning as earnings.</w:t>
      </w:r>
    </w:p>
    <w:p w14:paraId="69B11275" w14:textId="77777777" w:rsidR="003816E3" w:rsidRPr="003816E3" w:rsidRDefault="003816E3" w:rsidP="003816E3">
      <w:pPr>
        <w:ind w:left="1440"/>
        <w:jc w:val="both"/>
        <w:rPr>
          <w:sz w:val="22"/>
          <w:szCs w:val="22"/>
        </w:rPr>
      </w:pPr>
    </w:p>
    <w:p w14:paraId="5D185E54" w14:textId="79541F58" w:rsidR="0095325A" w:rsidRPr="000D736E" w:rsidRDefault="0008460C" w:rsidP="008E7990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Statement of Compensation.</w:t>
      </w:r>
      <w:r>
        <w:rPr>
          <w:sz w:val="22"/>
          <w:szCs w:val="22"/>
        </w:rPr>
        <w:t xml:space="preserve">  “Statement of compensation” as used in Title 5, Part 20, means:  (1) a completed, signed form </w:t>
      </w:r>
      <w:r w:rsidRPr="003816E3">
        <w:rPr>
          <w:sz w:val="22"/>
          <w:szCs w:val="22"/>
        </w:rPr>
        <w:t>in the format prescribed by the Chief Executive Officer</w:t>
      </w:r>
      <w:r>
        <w:rPr>
          <w:sz w:val="22"/>
          <w:szCs w:val="22"/>
        </w:rPr>
        <w:t xml:space="preserve"> specifying the disability retiree’s earnings; and (2) a copy of the disability retiree’s federal W-2 tax forms, any self-employment tax schedules filed by </w:t>
      </w:r>
      <w:r w:rsidR="00CF329F">
        <w:rPr>
          <w:sz w:val="22"/>
          <w:szCs w:val="22"/>
        </w:rPr>
        <w:t xml:space="preserve">or for </w:t>
      </w:r>
      <w:r>
        <w:rPr>
          <w:sz w:val="22"/>
          <w:szCs w:val="22"/>
        </w:rPr>
        <w:t>the disability retiree, and any other federal tax forms and schedules determined by the Chief Executive Officer to be necessary to show the disability retiree’s earnings.</w:t>
      </w:r>
    </w:p>
    <w:p w14:paraId="40D7B8CC" w14:textId="77777777" w:rsidR="00EB473F" w:rsidRPr="000D736E" w:rsidRDefault="00EB473F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2ED93B8F" w14:textId="14FB013F" w:rsidR="00C64A91" w:rsidRPr="000D736E" w:rsidRDefault="00C64A91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  <w:sz w:val="22"/>
          <w:szCs w:val="22"/>
        </w:rPr>
      </w:pPr>
      <w:r w:rsidRPr="000D736E">
        <w:rPr>
          <w:b/>
          <w:sz w:val="22"/>
          <w:szCs w:val="22"/>
        </w:rPr>
        <w:t>SECTION 2</w:t>
      </w:r>
      <w:r w:rsidR="005D2EF5" w:rsidRPr="000D736E">
        <w:rPr>
          <w:b/>
          <w:sz w:val="22"/>
          <w:szCs w:val="22"/>
        </w:rPr>
        <w:t>.</w:t>
      </w:r>
      <w:r w:rsidR="005D2EF5" w:rsidRPr="000D736E">
        <w:rPr>
          <w:b/>
          <w:sz w:val="22"/>
          <w:szCs w:val="22"/>
        </w:rPr>
        <w:tab/>
      </w:r>
      <w:r w:rsidR="00E02462">
        <w:rPr>
          <w:b/>
          <w:sz w:val="22"/>
          <w:szCs w:val="22"/>
        </w:rPr>
        <w:t>EARNINGS LIMITATIONS</w:t>
      </w:r>
      <w:r w:rsidR="00BC1618">
        <w:rPr>
          <w:b/>
          <w:sz w:val="22"/>
          <w:szCs w:val="22"/>
        </w:rPr>
        <w:t>,</w:t>
      </w:r>
      <w:r w:rsidR="00E02462">
        <w:rPr>
          <w:b/>
          <w:sz w:val="22"/>
          <w:szCs w:val="22"/>
        </w:rPr>
        <w:t xml:space="preserve"> OFFSETS, </w:t>
      </w:r>
      <w:r w:rsidR="00BC1618">
        <w:rPr>
          <w:b/>
          <w:sz w:val="22"/>
          <w:szCs w:val="22"/>
        </w:rPr>
        <w:t xml:space="preserve">AND THE </w:t>
      </w:r>
      <w:r w:rsidR="00224C85">
        <w:rPr>
          <w:b/>
          <w:sz w:val="22"/>
          <w:szCs w:val="22"/>
        </w:rPr>
        <w:t>ANNUAL STATEMENT OF COMPENSATION PROCESS</w:t>
      </w:r>
      <w:r w:rsidR="00E04F70">
        <w:rPr>
          <w:b/>
          <w:sz w:val="22"/>
          <w:szCs w:val="22"/>
        </w:rPr>
        <w:t xml:space="preserve"> </w:t>
      </w:r>
    </w:p>
    <w:p w14:paraId="7A79E450" w14:textId="77777777" w:rsidR="00152BCC" w:rsidRPr="000D736E" w:rsidRDefault="00152BCC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5E061CDD" w14:textId="12EBF889" w:rsidR="00E02462" w:rsidRDefault="00BC1618" w:rsidP="00E04F70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Title 5, Sections 17930 and 18530</w:t>
      </w:r>
      <w:r w:rsidR="00E02462">
        <w:rPr>
          <w:sz w:val="22"/>
          <w:szCs w:val="22"/>
        </w:rPr>
        <w:t xml:space="preserve"> specify the calculation of earnings limitations for each retiree and the reduction, or offset, to disability retirement benefits when the retiree also receives benefits under </w:t>
      </w:r>
      <w:r>
        <w:rPr>
          <w:sz w:val="22"/>
          <w:szCs w:val="22"/>
        </w:rPr>
        <w:t>workers’ compensation</w:t>
      </w:r>
      <w:r w:rsidR="00CE7B89">
        <w:rPr>
          <w:sz w:val="22"/>
          <w:szCs w:val="22"/>
        </w:rPr>
        <w:t xml:space="preserve"> or similar laws</w:t>
      </w:r>
      <w:r>
        <w:rPr>
          <w:sz w:val="22"/>
          <w:szCs w:val="22"/>
        </w:rPr>
        <w:t xml:space="preserve">.  These sections also specify the steps to be taken when a retiree exceeds earnings limitations, including the reduction or elimination of further benefits and reimbursement of any remaining excess benefit payments.  </w:t>
      </w:r>
    </w:p>
    <w:p w14:paraId="4982B7C6" w14:textId="77777777" w:rsidR="00BC1618" w:rsidRDefault="00BC1618" w:rsidP="00BC16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  <w:rPr>
          <w:sz w:val="22"/>
          <w:szCs w:val="22"/>
        </w:rPr>
      </w:pPr>
    </w:p>
    <w:p w14:paraId="64170B59" w14:textId="0411C86E" w:rsidR="00973A82" w:rsidRDefault="00973A82" w:rsidP="00973A82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Earnings and benefits as reported in the annual statement of compensation process will be used in applying the benefit reduction provisions in Title 5, Sections 17930 or 18530</w:t>
      </w:r>
      <w:r w:rsidRPr="00596296">
        <w:rPr>
          <w:sz w:val="22"/>
          <w:szCs w:val="22"/>
        </w:rPr>
        <w:t>.</w:t>
      </w:r>
    </w:p>
    <w:p w14:paraId="461C23DE" w14:textId="77777777" w:rsidR="00973A82" w:rsidRDefault="00973A82" w:rsidP="00973A8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  <w:rPr>
          <w:sz w:val="22"/>
          <w:szCs w:val="22"/>
        </w:rPr>
      </w:pPr>
    </w:p>
    <w:p w14:paraId="0CC5F72A" w14:textId="210356B2" w:rsidR="00C5204C" w:rsidRDefault="002E7405" w:rsidP="00E04F70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statement of compensation required by Title 5, Sections 1793</w:t>
      </w:r>
      <w:r w:rsidR="00973A82">
        <w:rPr>
          <w:sz w:val="22"/>
          <w:szCs w:val="22"/>
        </w:rPr>
        <w:t>1</w:t>
      </w:r>
      <w:r>
        <w:rPr>
          <w:sz w:val="22"/>
          <w:szCs w:val="22"/>
        </w:rPr>
        <w:t xml:space="preserve"> or 1853</w:t>
      </w:r>
      <w:r w:rsidR="00973A82">
        <w:rPr>
          <w:sz w:val="22"/>
          <w:szCs w:val="22"/>
        </w:rPr>
        <w:t>1</w:t>
      </w:r>
      <w:r w:rsidR="00C5204C">
        <w:rPr>
          <w:sz w:val="22"/>
          <w:szCs w:val="22"/>
        </w:rPr>
        <w:t xml:space="preserve"> must be submitted so that it is received by MainePERS by the deadline for filing federal tax returns for the year covered by the statement of compensation.</w:t>
      </w:r>
    </w:p>
    <w:p w14:paraId="3BDAA3F8" w14:textId="77777777" w:rsidR="00C5204C" w:rsidRDefault="00C5204C" w:rsidP="00C5204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  <w:rPr>
          <w:sz w:val="22"/>
          <w:szCs w:val="22"/>
        </w:rPr>
      </w:pPr>
    </w:p>
    <w:p w14:paraId="6D3BB953" w14:textId="1CCC4973" w:rsidR="00E1554E" w:rsidRDefault="00C5204C" w:rsidP="00C5204C">
      <w:pPr>
        <w:numPr>
          <w:ilvl w:val="1"/>
          <w:numId w:val="15"/>
        </w:numPr>
        <w:tabs>
          <w:tab w:val="left" w:pos="720"/>
          <w:tab w:val="left" w:pos="2160"/>
          <w:tab w:val="left" w:pos="2880"/>
          <w:tab w:val="left" w:pos="3600"/>
        </w:tabs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disability retiree who obtains an extension of the tax filing deadline must submit proof of the extension application </w:t>
      </w:r>
      <w:r w:rsidR="00E1554E">
        <w:rPr>
          <w:sz w:val="22"/>
          <w:szCs w:val="22"/>
        </w:rPr>
        <w:t>so it is received by MainePERS by the original deadline.  The statement of compensation will be due on the extended deadline.</w:t>
      </w:r>
    </w:p>
    <w:p w14:paraId="642A86FC" w14:textId="77777777" w:rsidR="00E1554E" w:rsidRDefault="00E1554E" w:rsidP="00E1554E">
      <w:pPr>
        <w:tabs>
          <w:tab w:val="left" w:pos="720"/>
          <w:tab w:val="left" w:pos="2160"/>
          <w:tab w:val="left" w:pos="2880"/>
          <w:tab w:val="left" w:pos="3600"/>
        </w:tabs>
        <w:ind w:left="2160"/>
        <w:jc w:val="both"/>
        <w:rPr>
          <w:sz w:val="22"/>
          <w:szCs w:val="22"/>
        </w:rPr>
      </w:pPr>
    </w:p>
    <w:p w14:paraId="6C1713CA" w14:textId="6C1521CC" w:rsidR="00C5204C" w:rsidRDefault="00E1554E" w:rsidP="00C5204C">
      <w:pPr>
        <w:numPr>
          <w:ilvl w:val="1"/>
          <w:numId w:val="15"/>
        </w:numPr>
        <w:tabs>
          <w:tab w:val="left" w:pos="720"/>
          <w:tab w:val="left" w:pos="2160"/>
          <w:tab w:val="left" w:pos="2880"/>
          <w:tab w:val="left" w:pos="3600"/>
        </w:tabs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MainePERS may extend the deadline or waive in whole or in part the statement of compensation requirement for good cause.  </w:t>
      </w:r>
      <w:r w:rsidR="00C5204C">
        <w:rPr>
          <w:sz w:val="22"/>
          <w:szCs w:val="22"/>
        </w:rPr>
        <w:t xml:space="preserve"> </w:t>
      </w:r>
    </w:p>
    <w:p w14:paraId="01BE72FE" w14:textId="77777777" w:rsidR="00E1554E" w:rsidRDefault="00E1554E" w:rsidP="00E1554E">
      <w:pPr>
        <w:tabs>
          <w:tab w:val="left" w:pos="720"/>
          <w:tab w:val="left" w:pos="2160"/>
          <w:tab w:val="left" w:pos="2880"/>
          <w:tab w:val="left" w:pos="3600"/>
        </w:tabs>
        <w:ind w:left="2160"/>
        <w:jc w:val="both"/>
        <w:rPr>
          <w:sz w:val="22"/>
          <w:szCs w:val="22"/>
        </w:rPr>
      </w:pPr>
    </w:p>
    <w:p w14:paraId="16CD1944" w14:textId="5E3F4A4C" w:rsidR="0008460C" w:rsidRDefault="0008460C" w:rsidP="00C5204C">
      <w:pPr>
        <w:numPr>
          <w:ilvl w:val="1"/>
          <w:numId w:val="15"/>
        </w:numPr>
        <w:tabs>
          <w:tab w:val="left" w:pos="720"/>
          <w:tab w:val="left" w:pos="2160"/>
          <w:tab w:val="left" w:pos="2880"/>
          <w:tab w:val="left" w:pos="3600"/>
        </w:tabs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Disability retirement benefits may be withheld for failure to submit a statement of compensation only after compliance with Title 5, Section 17105-A</w:t>
      </w:r>
      <w:r w:rsidR="00CF329F">
        <w:rPr>
          <w:sz w:val="22"/>
          <w:szCs w:val="22"/>
        </w:rPr>
        <w:t>, including the right to an informal hearing, written decision, and appeal process.</w:t>
      </w:r>
      <w:r>
        <w:rPr>
          <w:sz w:val="22"/>
          <w:szCs w:val="22"/>
        </w:rPr>
        <w:t xml:space="preserve"> </w:t>
      </w:r>
    </w:p>
    <w:p w14:paraId="5626B86D" w14:textId="77777777" w:rsidR="0008460C" w:rsidRDefault="0008460C" w:rsidP="0008460C">
      <w:pPr>
        <w:tabs>
          <w:tab w:val="left" w:pos="720"/>
          <w:tab w:val="left" w:pos="2160"/>
          <w:tab w:val="left" w:pos="2880"/>
          <w:tab w:val="left" w:pos="3600"/>
        </w:tabs>
        <w:ind w:left="2160"/>
        <w:jc w:val="both"/>
        <w:rPr>
          <w:sz w:val="22"/>
          <w:szCs w:val="22"/>
        </w:rPr>
      </w:pPr>
    </w:p>
    <w:p w14:paraId="6728FACE" w14:textId="554F16B3" w:rsidR="00E1554E" w:rsidRDefault="00E1554E" w:rsidP="00C5204C">
      <w:pPr>
        <w:numPr>
          <w:ilvl w:val="1"/>
          <w:numId w:val="15"/>
        </w:numPr>
        <w:tabs>
          <w:tab w:val="left" w:pos="720"/>
          <w:tab w:val="left" w:pos="2160"/>
          <w:tab w:val="left" w:pos="2880"/>
          <w:tab w:val="left" w:pos="3600"/>
        </w:tabs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disability retirement benefits are withheld for failure to submit a statement of compensation and the statement is subsequently submitted within one-year of the original due date, MainePERS will </w:t>
      </w:r>
      <w:r w:rsidR="009B24AC">
        <w:rPr>
          <w:sz w:val="22"/>
          <w:szCs w:val="22"/>
        </w:rPr>
        <w:t>disburse the withheld benefits to the retiree.</w:t>
      </w:r>
    </w:p>
    <w:p w14:paraId="7A25F7C4" w14:textId="3E075F37" w:rsidR="00C5204C" w:rsidRDefault="00C5204C" w:rsidP="00E155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  <w:rPr>
          <w:sz w:val="22"/>
          <w:szCs w:val="22"/>
        </w:rPr>
      </w:pPr>
    </w:p>
    <w:p w14:paraId="46CB200E" w14:textId="34565951" w:rsidR="00973A82" w:rsidRDefault="00E145AA" w:rsidP="00E145AA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order for MainePERS to accurately apply the </w:t>
      </w:r>
      <w:r w:rsidR="0008460C">
        <w:rPr>
          <w:sz w:val="22"/>
          <w:szCs w:val="22"/>
        </w:rPr>
        <w:t>benefit reductions</w:t>
      </w:r>
      <w:r>
        <w:rPr>
          <w:sz w:val="22"/>
          <w:szCs w:val="22"/>
        </w:rPr>
        <w:t xml:space="preserve"> in </w:t>
      </w:r>
      <w:r w:rsidRPr="00E145AA">
        <w:rPr>
          <w:sz w:val="22"/>
          <w:szCs w:val="22"/>
        </w:rPr>
        <w:t xml:space="preserve">Title 5, Sections 17930 </w:t>
      </w:r>
      <w:r>
        <w:rPr>
          <w:sz w:val="22"/>
          <w:szCs w:val="22"/>
        </w:rPr>
        <w:t>and</w:t>
      </w:r>
      <w:r w:rsidRPr="00E145AA">
        <w:rPr>
          <w:sz w:val="22"/>
          <w:szCs w:val="22"/>
        </w:rPr>
        <w:t xml:space="preserve"> 18530</w:t>
      </w:r>
      <w:r>
        <w:rPr>
          <w:sz w:val="22"/>
          <w:szCs w:val="22"/>
        </w:rPr>
        <w:t xml:space="preserve"> for receipt of other benefits, </w:t>
      </w:r>
      <w:r w:rsidR="00973A82">
        <w:rPr>
          <w:sz w:val="22"/>
          <w:szCs w:val="22"/>
        </w:rPr>
        <w:t xml:space="preserve">except as provided in paragraph A, </w:t>
      </w:r>
      <w:r>
        <w:rPr>
          <w:sz w:val="22"/>
          <w:szCs w:val="22"/>
        </w:rPr>
        <w:t xml:space="preserve">each person required to submit a statement of compensation must at the same time and on the same form report </w:t>
      </w:r>
      <w:r w:rsidR="0008460C">
        <w:rPr>
          <w:sz w:val="22"/>
          <w:szCs w:val="22"/>
        </w:rPr>
        <w:t>workers’ compensation benefits.</w:t>
      </w:r>
    </w:p>
    <w:p w14:paraId="51FEBC36" w14:textId="77777777" w:rsidR="00B077B2" w:rsidRDefault="00B077B2" w:rsidP="00B077B2">
      <w:pPr>
        <w:tabs>
          <w:tab w:val="left" w:pos="720"/>
          <w:tab w:val="left" w:pos="2160"/>
          <w:tab w:val="left" w:pos="2880"/>
          <w:tab w:val="left" w:pos="3600"/>
        </w:tabs>
        <w:ind w:left="2160"/>
        <w:jc w:val="both"/>
        <w:rPr>
          <w:sz w:val="22"/>
          <w:szCs w:val="22"/>
        </w:rPr>
      </w:pPr>
    </w:p>
    <w:p w14:paraId="0065F060" w14:textId="6B289B96" w:rsidR="00E145AA" w:rsidRDefault="00973A82" w:rsidP="00F06F56">
      <w:pPr>
        <w:tabs>
          <w:tab w:val="left" w:pos="720"/>
          <w:tab w:val="left" w:pos="2160"/>
          <w:tab w:val="left" w:pos="2880"/>
          <w:tab w:val="left" w:pos="360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If the information submitted reflects a decrease in other benefits or an increase beyond a cost of living adjustment, MainePERS</w:t>
      </w:r>
      <w:r w:rsidR="00B077B2">
        <w:rPr>
          <w:sz w:val="22"/>
          <w:szCs w:val="22"/>
        </w:rPr>
        <w:t>, with the cooperation of the retiree,</w:t>
      </w:r>
      <w:r>
        <w:rPr>
          <w:sz w:val="22"/>
          <w:szCs w:val="22"/>
        </w:rPr>
        <w:t xml:space="preserve"> will seek further information from </w:t>
      </w:r>
      <w:r w:rsidR="00B077B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="00081B3E">
        <w:rPr>
          <w:sz w:val="22"/>
          <w:szCs w:val="22"/>
        </w:rPr>
        <w:t xml:space="preserve">other benefit provider </w:t>
      </w:r>
      <w:r>
        <w:rPr>
          <w:sz w:val="22"/>
          <w:szCs w:val="22"/>
        </w:rPr>
        <w:t>to determine whether the change in other benefits should result in a change in benefit reductions.</w:t>
      </w:r>
      <w:r w:rsidR="0008460C">
        <w:rPr>
          <w:sz w:val="22"/>
          <w:szCs w:val="22"/>
        </w:rPr>
        <w:t xml:space="preserve"> </w:t>
      </w:r>
    </w:p>
    <w:p w14:paraId="44A09949" w14:textId="77777777" w:rsidR="00E145AA" w:rsidRDefault="00E145AA" w:rsidP="00E145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jc w:val="both"/>
        <w:rPr>
          <w:sz w:val="22"/>
          <w:szCs w:val="22"/>
        </w:rPr>
      </w:pPr>
    </w:p>
    <w:p w14:paraId="61E38933" w14:textId="535FAA41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18136BD0" w14:textId="3F155C8B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318C1FCE" w14:textId="7021CE14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5BEBD2EB" w14:textId="7099E9F0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5BB09ED3" w14:textId="56FA17BA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536D147C" w14:textId="7117F9DA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3FD90ECA" w14:textId="2BBEEDF2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56BB1842" w14:textId="395B92D8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091D4229" w14:textId="5A09D654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467031A7" w14:textId="64B4044C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6915C839" w14:textId="77777777" w:rsidR="00152BCC" w:rsidRPr="000D736E" w:rsidRDefault="00152BCC" w:rsidP="00CF5F4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sz w:val="22"/>
          <w:szCs w:val="22"/>
        </w:rPr>
      </w:pPr>
    </w:p>
    <w:p w14:paraId="050FC522" w14:textId="77777777" w:rsidR="006B11E0" w:rsidRPr="000D736E" w:rsidRDefault="006B11E0" w:rsidP="00CF5F4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012A246D" w14:textId="1C188257" w:rsidR="00071782" w:rsidRDefault="005D2EF5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  <w:r w:rsidRPr="000D736E">
        <w:rPr>
          <w:sz w:val="22"/>
          <w:szCs w:val="22"/>
        </w:rPr>
        <w:t xml:space="preserve">STATUTORY </w:t>
      </w:r>
      <w:r w:rsidR="006B11E0" w:rsidRPr="000D736E">
        <w:rPr>
          <w:sz w:val="22"/>
          <w:szCs w:val="22"/>
        </w:rPr>
        <w:t>AUTHORITY:</w:t>
      </w:r>
      <w:r w:rsidR="00071782" w:rsidRPr="000D736E">
        <w:rPr>
          <w:sz w:val="22"/>
          <w:szCs w:val="22"/>
        </w:rPr>
        <w:tab/>
      </w:r>
      <w:r w:rsidRPr="000D736E">
        <w:rPr>
          <w:sz w:val="22"/>
          <w:szCs w:val="22"/>
        </w:rPr>
        <w:t xml:space="preserve">5 M.R.S. </w:t>
      </w:r>
      <w:r w:rsidR="006B1433">
        <w:rPr>
          <w:sz w:val="22"/>
          <w:szCs w:val="22"/>
        </w:rPr>
        <w:t>§ 17103(4)</w:t>
      </w:r>
    </w:p>
    <w:p w14:paraId="706BF4A7" w14:textId="77777777" w:rsidR="003B43BA" w:rsidRDefault="003B43BA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</w:p>
    <w:p w14:paraId="386D7B32" w14:textId="2B82B679" w:rsidR="003B43BA" w:rsidRDefault="003B43BA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EFFECTIVE DATE:</w:t>
      </w:r>
    </w:p>
    <w:p w14:paraId="17679FF3" w14:textId="26785A61" w:rsidR="003B43BA" w:rsidRDefault="003B43BA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  <w:t>July 31, 2024 – filing 2024-165</w:t>
      </w:r>
    </w:p>
    <w:p w14:paraId="2421E5E4" w14:textId="77777777" w:rsidR="00A343FB" w:rsidRDefault="00A343FB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</w:p>
    <w:p w14:paraId="14734638" w14:textId="6EF1310F" w:rsidR="00A343FB" w:rsidRDefault="00A343FB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APAO ACCESSIBILITY CHECK: September 2, 2025</w:t>
      </w:r>
    </w:p>
    <w:p w14:paraId="7E88F0DD" w14:textId="77777777" w:rsidR="00A343FB" w:rsidRDefault="00A343FB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</w:p>
    <w:p w14:paraId="0992B4DF" w14:textId="15221A32" w:rsidR="00A343FB" w:rsidRDefault="00A343FB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72680022" w14:textId="7CCB7E04" w:rsidR="00A343FB" w:rsidRDefault="00A343FB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2, 2025 – filing 2025-169</w:t>
      </w:r>
    </w:p>
    <w:p w14:paraId="4A336731" w14:textId="77777777" w:rsidR="000E38AF" w:rsidRPr="000D736E" w:rsidRDefault="000E38AF" w:rsidP="007C3F5A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ind w:left="2880" w:hanging="2880"/>
        <w:jc w:val="both"/>
        <w:rPr>
          <w:sz w:val="22"/>
          <w:szCs w:val="22"/>
        </w:rPr>
      </w:pPr>
    </w:p>
    <w:sectPr w:rsidR="000E38AF" w:rsidRPr="000D736E" w:rsidSect="006D2D2A">
      <w:headerReference w:type="default" r:id="rId7"/>
      <w:footerReference w:type="even" r:id="rId8"/>
      <w:headerReference w:type="first" r:id="rId9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9671" w14:textId="77777777" w:rsidR="002F0F52" w:rsidRDefault="002F0F52">
      <w:r>
        <w:separator/>
      </w:r>
    </w:p>
  </w:endnote>
  <w:endnote w:type="continuationSeparator" w:id="0">
    <w:p w14:paraId="11E1A9C9" w14:textId="77777777" w:rsidR="002F0F52" w:rsidRDefault="002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D0A5" w14:textId="77777777" w:rsidR="003F00F5" w:rsidRDefault="003F00F5" w:rsidP="00E67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73BFB" w14:textId="77777777" w:rsidR="003F00F5" w:rsidRDefault="003F00F5" w:rsidP="009F5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AFD2" w14:textId="77777777" w:rsidR="002F0F52" w:rsidRDefault="002F0F52">
      <w:r>
        <w:separator/>
      </w:r>
    </w:p>
  </w:footnote>
  <w:footnote w:type="continuationSeparator" w:id="0">
    <w:p w14:paraId="684BA5F9" w14:textId="77777777" w:rsidR="002F0F52" w:rsidRDefault="002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9AFE" w14:textId="77777777" w:rsidR="006D2D2A" w:rsidRDefault="006D2D2A" w:rsidP="006D2D2A">
    <w:pPr>
      <w:pStyle w:val="Header"/>
      <w:jc w:val="right"/>
      <w:rPr>
        <w:rFonts w:ascii="Times New Roman" w:hAnsi="Times New Roman"/>
        <w:sz w:val="18"/>
        <w:szCs w:val="18"/>
      </w:rPr>
    </w:pPr>
  </w:p>
  <w:p w14:paraId="339BDC43" w14:textId="77777777" w:rsidR="006D2D2A" w:rsidRDefault="006D2D2A" w:rsidP="006D2D2A">
    <w:pPr>
      <w:pStyle w:val="Header"/>
      <w:jc w:val="right"/>
      <w:rPr>
        <w:rFonts w:ascii="Times New Roman" w:hAnsi="Times New Roman"/>
        <w:sz w:val="18"/>
        <w:szCs w:val="18"/>
      </w:rPr>
    </w:pPr>
  </w:p>
  <w:p w14:paraId="7D5DD5F2" w14:textId="680C9800" w:rsidR="006D2D2A" w:rsidRPr="006D2D2A" w:rsidRDefault="006D2D2A" w:rsidP="006D2D2A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94-411 Chapter </w:t>
    </w:r>
    <w:r w:rsidR="009B24AC">
      <w:rPr>
        <w:rFonts w:ascii="Times New Roman" w:hAnsi="Times New Roman"/>
        <w:sz w:val="18"/>
        <w:szCs w:val="18"/>
      </w:rPr>
      <w:t>5</w:t>
    </w:r>
    <w:r w:rsidR="004D5FA0">
      <w:rPr>
        <w:rFonts w:ascii="Times New Roman" w:hAnsi="Times New Roman"/>
        <w:sz w:val="18"/>
        <w:szCs w:val="18"/>
      </w:rPr>
      <w:t>1</w:t>
    </w:r>
    <w:r w:rsidR="009B24AC">
      <w:rPr>
        <w:rFonts w:ascii="Times New Roman" w:hAnsi="Times New Roman"/>
        <w:sz w:val="18"/>
        <w:szCs w:val="18"/>
      </w:rPr>
      <w:t>3</w:t>
    </w:r>
    <w:r w:rsidR="004D5FA0">
      <w:rPr>
        <w:rFonts w:ascii="Times New Roman" w:hAnsi="Times New Roman"/>
        <w:sz w:val="18"/>
        <w:szCs w:val="18"/>
      </w:rPr>
      <w:t xml:space="preserve">    </w:t>
    </w:r>
    <w:r>
      <w:rPr>
        <w:rFonts w:ascii="Times New Roman" w:hAnsi="Times New Roman"/>
        <w:sz w:val="18"/>
        <w:szCs w:val="18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6C7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6D1F" w14:textId="77777777" w:rsidR="001F6992" w:rsidRDefault="001F6992" w:rsidP="001F6992">
    <w:pPr>
      <w:tabs>
        <w:tab w:val="center" w:pos="4320"/>
        <w:tab w:val="right" w:pos="8640"/>
      </w:tabs>
      <w:rPr>
        <w:rFonts w:ascii="Arial" w:hAnsi="Arial"/>
        <w:color w:val="FF0000"/>
        <w:sz w:val="24"/>
        <w:szCs w:val="24"/>
      </w:rPr>
    </w:pPr>
  </w:p>
  <w:p w14:paraId="218B40EB" w14:textId="7398630E" w:rsidR="001F6992" w:rsidRPr="001F6992" w:rsidRDefault="001F6992" w:rsidP="001F6992">
    <w:pPr>
      <w:tabs>
        <w:tab w:val="center" w:pos="4320"/>
        <w:tab w:val="right" w:pos="8640"/>
      </w:tabs>
      <w:rPr>
        <w:rFonts w:ascii="Arial" w:hAnsi="Arial"/>
        <w:color w:val="FF0000"/>
        <w:sz w:val="24"/>
        <w:szCs w:val="24"/>
      </w:rPr>
    </w:pPr>
  </w:p>
  <w:p w14:paraId="7EE65FFF" w14:textId="77777777" w:rsidR="00155100" w:rsidRDefault="0015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61F1"/>
    <w:multiLevelType w:val="hybridMultilevel"/>
    <w:tmpl w:val="864EC918"/>
    <w:lvl w:ilvl="0" w:tplc="18E6A6E4">
      <w:start w:val="1"/>
      <w:numFmt w:val="decimal"/>
      <w:lvlText w:val="%1."/>
      <w:lvlJc w:val="left"/>
      <w:pPr>
        <w:ind w:left="117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40088A"/>
    <w:multiLevelType w:val="multilevel"/>
    <w:tmpl w:val="2FE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F91"/>
    <w:multiLevelType w:val="hybridMultilevel"/>
    <w:tmpl w:val="29D2D1D6"/>
    <w:lvl w:ilvl="0" w:tplc="847AB8B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F7686"/>
    <w:multiLevelType w:val="hybridMultilevel"/>
    <w:tmpl w:val="62BAFA34"/>
    <w:lvl w:ilvl="0" w:tplc="18E6A6E4">
      <w:start w:val="1"/>
      <w:numFmt w:val="decimal"/>
      <w:lvlText w:val="%1."/>
      <w:lvlJc w:val="left"/>
      <w:pPr>
        <w:ind w:left="117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592B"/>
    <w:multiLevelType w:val="hybridMultilevel"/>
    <w:tmpl w:val="8334F1C8"/>
    <w:lvl w:ilvl="0" w:tplc="B3508C4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71462"/>
    <w:multiLevelType w:val="hybridMultilevel"/>
    <w:tmpl w:val="83E43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4DE78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032AC"/>
    <w:multiLevelType w:val="hybridMultilevel"/>
    <w:tmpl w:val="45E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12A4"/>
    <w:multiLevelType w:val="hybridMultilevel"/>
    <w:tmpl w:val="9D8EE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2977"/>
    <w:multiLevelType w:val="hybridMultilevel"/>
    <w:tmpl w:val="8BBAECB2"/>
    <w:lvl w:ilvl="0" w:tplc="01E6383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B0C8A"/>
    <w:multiLevelType w:val="hybridMultilevel"/>
    <w:tmpl w:val="5754B4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33A1D0F"/>
    <w:multiLevelType w:val="hybridMultilevel"/>
    <w:tmpl w:val="04569C7A"/>
    <w:lvl w:ilvl="0" w:tplc="18E6A6E4">
      <w:start w:val="1"/>
      <w:numFmt w:val="decimal"/>
      <w:lvlText w:val="%1."/>
      <w:lvlJc w:val="left"/>
      <w:pPr>
        <w:ind w:left="117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025A"/>
    <w:multiLevelType w:val="hybridMultilevel"/>
    <w:tmpl w:val="F05C7F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12469C"/>
    <w:multiLevelType w:val="hybridMultilevel"/>
    <w:tmpl w:val="4AD8CF12"/>
    <w:lvl w:ilvl="0" w:tplc="FD86A8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C43ED3"/>
    <w:multiLevelType w:val="hybridMultilevel"/>
    <w:tmpl w:val="D8945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1631D"/>
    <w:multiLevelType w:val="hybridMultilevel"/>
    <w:tmpl w:val="1F4882B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621E8C"/>
    <w:multiLevelType w:val="hybridMultilevel"/>
    <w:tmpl w:val="5260AEB8"/>
    <w:lvl w:ilvl="0" w:tplc="49583AD2">
      <w:start w:val="1"/>
      <w:numFmt w:val="lowerLetter"/>
      <w:lvlText w:val="%1."/>
      <w:lvlJc w:val="left"/>
      <w:pPr>
        <w:ind w:left="21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7877B92"/>
    <w:multiLevelType w:val="hybridMultilevel"/>
    <w:tmpl w:val="178CB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8927127"/>
    <w:multiLevelType w:val="hybridMultilevel"/>
    <w:tmpl w:val="4C4695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171F42"/>
    <w:multiLevelType w:val="hybridMultilevel"/>
    <w:tmpl w:val="A61AA062"/>
    <w:lvl w:ilvl="0" w:tplc="18E6A6E4">
      <w:start w:val="1"/>
      <w:numFmt w:val="decimal"/>
      <w:lvlText w:val="%1."/>
      <w:lvlJc w:val="left"/>
      <w:pPr>
        <w:ind w:left="117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D7CCF"/>
    <w:multiLevelType w:val="hybridMultilevel"/>
    <w:tmpl w:val="8CA89048"/>
    <w:lvl w:ilvl="0" w:tplc="2A52E06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E47C2"/>
    <w:multiLevelType w:val="hybridMultilevel"/>
    <w:tmpl w:val="9A3EC45E"/>
    <w:lvl w:ilvl="0" w:tplc="DF48772C">
      <w:start w:val="1"/>
      <w:numFmt w:val="decimal"/>
      <w:lvlText w:val="%1."/>
      <w:lvlJc w:val="left"/>
      <w:pPr>
        <w:ind w:left="117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6AE4DC6"/>
    <w:multiLevelType w:val="hybridMultilevel"/>
    <w:tmpl w:val="CEB693B6"/>
    <w:lvl w:ilvl="0" w:tplc="6F2452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E0750"/>
    <w:multiLevelType w:val="hybridMultilevel"/>
    <w:tmpl w:val="63AC5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545119"/>
    <w:multiLevelType w:val="hybridMultilevel"/>
    <w:tmpl w:val="EC422A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50301140">
    <w:abstractNumId w:val="16"/>
  </w:num>
  <w:num w:numId="2" w16cid:durableId="1904639966">
    <w:abstractNumId w:val="4"/>
  </w:num>
  <w:num w:numId="3" w16cid:durableId="1932621278">
    <w:abstractNumId w:val="5"/>
  </w:num>
  <w:num w:numId="4" w16cid:durableId="630136028">
    <w:abstractNumId w:val="21"/>
  </w:num>
  <w:num w:numId="5" w16cid:durableId="184250184">
    <w:abstractNumId w:val="1"/>
  </w:num>
  <w:num w:numId="6" w16cid:durableId="2118526914">
    <w:abstractNumId w:val="2"/>
  </w:num>
  <w:num w:numId="7" w16cid:durableId="516771283">
    <w:abstractNumId w:val="23"/>
  </w:num>
  <w:num w:numId="8" w16cid:durableId="1449354109">
    <w:abstractNumId w:val="7"/>
  </w:num>
  <w:num w:numId="9" w16cid:durableId="1413893736">
    <w:abstractNumId w:val="11"/>
  </w:num>
  <w:num w:numId="10" w16cid:durableId="751002221">
    <w:abstractNumId w:val="17"/>
  </w:num>
  <w:num w:numId="11" w16cid:durableId="2133858500">
    <w:abstractNumId w:val="22"/>
  </w:num>
  <w:num w:numId="12" w16cid:durableId="2003194848">
    <w:abstractNumId w:val="12"/>
  </w:num>
  <w:num w:numId="13" w16cid:durableId="1509522363">
    <w:abstractNumId w:val="8"/>
  </w:num>
  <w:num w:numId="14" w16cid:durableId="69157272">
    <w:abstractNumId w:val="14"/>
  </w:num>
  <w:num w:numId="15" w16cid:durableId="2132741912">
    <w:abstractNumId w:val="19"/>
  </w:num>
  <w:num w:numId="16" w16cid:durableId="1690061314">
    <w:abstractNumId w:val="15"/>
  </w:num>
  <w:num w:numId="17" w16cid:durableId="1835799961">
    <w:abstractNumId w:val="20"/>
  </w:num>
  <w:num w:numId="18" w16cid:durableId="1089279608">
    <w:abstractNumId w:val="0"/>
  </w:num>
  <w:num w:numId="19" w16cid:durableId="2142727505">
    <w:abstractNumId w:val="10"/>
  </w:num>
  <w:num w:numId="20" w16cid:durableId="1825006533">
    <w:abstractNumId w:val="3"/>
  </w:num>
  <w:num w:numId="21" w16cid:durableId="1453595066">
    <w:abstractNumId w:val="18"/>
  </w:num>
  <w:num w:numId="22" w16cid:durableId="1610502730">
    <w:abstractNumId w:val="9"/>
  </w:num>
  <w:num w:numId="23" w16cid:durableId="952519135">
    <w:abstractNumId w:val="13"/>
  </w:num>
  <w:num w:numId="24" w16cid:durableId="122194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8"/>
    <w:rsid w:val="00000AA9"/>
    <w:rsid w:val="00004ED8"/>
    <w:rsid w:val="000068DA"/>
    <w:rsid w:val="00007CAA"/>
    <w:rsid w:val="00013B8A"/>
    <w:rsid w:val="0003575B"/>
    <w:rsid w:val="00037F43"/>
    <w:rsid w:val="00040428"/>
    <w:rsid w:val="000412BA"/>
    <w:rsid w:val="000442D1"/>
    <w:rsid w:val="00047820"/>
    <w:rsid w:val="00050224"/>
    <w:rsid w:val="00055644"/>
    <w:rsid w:val="000602E5"/>
    <w:rsid w:val="000633A5"/>
    <w:rsid w:val="00071782"/>
    <w:rsid w:val="000742E3"/>
    <w:rsid w:val="0007582B"/>
    <w:rsid w:val="0007792E"/>
    <w:rsid w:val="00081B3E"/>
    <w:rsid w:val="0008460C"/>
    <w:rsid w:val="00087ADE"/>
    <w:rsid w:val="000A4ABB"/>
    <w:rsid w:val="000C3C28"/>
    <w:rsid w:val="000C55D4"/>
    <w:rsid w:val="000D736E"/>
    <w:rsid w:val="000E08E2"/>
    <w:rsid w:val="000E38AF"/>
    <w:rsid w:val="000E43DB"/>
    <w:rsid w:val="000F1BE6"/>
    <w:rsid w:val="00127FE3"/>
    <w:rsid w:val="001350DD"/>
    <w:rsid w:val="001353B9"/>
    <w:rsid w:val="00145626"/>
    <w:rsid w:val="00152BCC"/>
    <w:rsid w:val="00155100"/>
    <w:rsid w:val="001560E3"/>
    <w:rsid w:val="00156668"/>
    <w:rsid w:val="00161621"/>
    <w:rsid w:val="00166319"/>
    <w:rsid w:val="00174CDF"/>
    <w:rsid w:val="001848D9"/>
    <w:rsid w:val="00184BA4"/>
    <w:rsid w:val="001A10A0"/>
    <w:rsid w:val="001A1E98"/>
    <w:rsid w:val="001A2248"/>
    <w:rsid w:val="001A377E"/>
    <w:rsid w:val="001A43F2"/>
    <w:rsid w:val="001A701C"/>
    <w:rsid w:val="001A7B03"/>
    <w:rsid w:val="001B1B77"/>
    <w:rsid w:val="001B5BF7"/>
    <w:rsid w:val="001C3C62"/>
    <w:rsid w:val="001C4BF0"/>
    <w:rsid w:val="001C6B05"/>
    <w:rsid w:val="001C7C70"/>
    <w:rsid w:val="001C7D16"/>
    <w:rsid w:val="001E084F"/>
    <w:rsid w:val="001E1205"/>
    <w:rsid w:val="001F01C0"/>
    <w:rsid w:val="001F6992"/>
    <w:rsid w:val="001F7F20"/>
    <w:rsid w:val="002021A8"/>
    <w:rsid w:val="00207902"/>
    <w:rsid w:val="002246D8"/>
    <w:rsid w:val="00224C85"/>
    <w:rsid w:val="00233B45"/>
    <w:rsid w:val="00241484"/>
    <w:rsid w:val="0026216B"/>
    <w:rsid w:val="0027465E"/>
    <w:rsid w:val="00284C06"/>
    <w:rsid w:val="00285188"/>
    <w:rsid w:val="002A118C"/>
    <w:rsid w:val="002A3DA0"/>
    <w:rsid w:val="002A5F3F"/>
    <w:rsid w:val="002B6AF4"/>
    <w:rsid w:val="002C4912"/>
    <w:rsid w:val="002D3D25"/>
    <w:rsid w:val="002E7405"/>
    <w:rsid w:val="002E7977"/>
    <w:rsid w:val="002F09A5"/>
    <w:rsid w:val="002F0F52"/>
    <w:rsid w:val="002F476E"/>
    <w:rsid w:val="002F51EE"/>
    <w:rsid w:val="00310F67"/>
    <w:rsid w:val="00311E6F"/>
    <w:rsid w:val="00312CF2"/>
    <w:rsid w:val="00317E26"/>
    <w:rsid w:val="003222A1"/>
    <w:rsid w:val="00336792"/>
    <w:rsid w:val="00362E5C"/>
    <w:rsid w:val="0036352D"/>
    <w:rsid w:val="00376B85"/>
    <w:rsid w:val="003816E3"/>
    <w:rsid w:val="003A22EA"/>
    <w:rsid w:val="003B43BA"/>
    <w:rsid w:val="003B6053"/>
    <w:rsid w:val="003C1B3D"/>
    <w:rsid w:val="003C22CF"/>
    <w:rsid w:val="003E0AD1"/>
    <w:rsid w:val="003E160F"/>
    <w:rsid w:val="003E7157"/>
    <w:rsid w:val="003F00F5"/>
    <w:rsid w:val="003F0AE4"/>
    <w:rsid w:val="003F1B7C"/>
    <w:rsid w:val="00400692"/>
    <w:rsid w:val="0040715E"/>
    <w:rsid w:val="004107CC"/>
    <w:rsid w:val="00422BDB"/>
    <w:rsid w:val="00442A93"/>
    <w:rsid w:val="00447DA2"/>
    <w:rsid w:val="004625AC"/>
    <w:rsid w:val="00464375"/>
    <w:rsid w:val="00467560"/>
    <w:rsid w:val="00472E9E"/>
    <w:rsid w:val="004A0100"/>
    <w:rsid w:val="004A0FF9"/>
    <w:rsid w:val="004B0753"/>
    <w:rsid w:val="004B33A7"/>
    <w:rsid w:val="004B718B"/>
    <w:rsid w:val="004C563C"/>
    <w:rsid w:val="004D07B3"/>
    <w:rsid w:val="004D2CBC"/>
    <w:rsid w:val="004D2DD9"/>
    <w:rsid w:val="004D5FA0"/>
    <w:rsid w:val="004F5BE1"/>
    <w:rsid w:val="0050203A"/>
    <w:rsid w:val="0051611C"/>
    <w:rsid w:val="005234CA"/>
    <w:rsid w:val="00523643"/>
    <w:rsid w:val="005244A6"/>
    <w:rsid w:val="00527A08"/>
    <w:rsid w:val="00543037"/>
    <w:rsid w:val="0054326F"/>
    <w:rsid w:val="005575A7"/>
    <w:rsid w:val="00564376"/>
    <w:rsid w:val="00564F70"/>
    <w:rsid w:val="00570F04"/>
    <w:rsid w:val="00582846"/>
    <w:rsid w:val="005831AD"/>
    <w:rsid w:val="00587185"/>
    <w:rsid w:val="005907DE"/>
    <w:rsid w:val="00590C44"/>
    <w:rsid w:val="00593E98"/>
    <w:rsid w:val="00596296"/>
    <w:rsid w:val="005B4D04"/>
    <w:rsid w:val="005B7035"/>
    <w:rsid w:val="005C517A"/>
    <w:rsid w:val="005D2EF5"/>
    <w:rsid w:val="005E0979"/>
    <w:rsid w:val="005E27D2"/>
    <w:rsid w:val="005E4EFD"/>
    <w:rsid w:val="005F1959"/>
    <w:rsid w:val="00611F5D"/>
    <w:rsid w:val="00612074"/>
    <w:rsid w:val="00615676"/>
    <w:rsid w:val="00621665"/>
    <w:rsid w:val="006256F1"/>
    <w:rsid w:val="006343EB"/>
    <w:rsid w:val="00635DCC"/>
    <w:rsid w:val="0064721B"/>
    <w:rsid w:val="006473E1"/>
    <w:rsid w:val="00670F93"/>
    <w:rsid w:val="006764D7"/>
    <w:rsid w:val="00683953"/>
    <w:rsid w:val="00693701"/>
    <w:rsid w:val="006A7739"/>
    <w:rsid w:val="006B11E0"/>
    <w:rsid w:val="006B1433"/>
    <w:rsid w:val="006B5908"/>
    <w:rsid w:val="006C347C"/>
    <w:rsid w:val="006C367B"/>
    <w:rsid w:val="006C3802"/>
    <w:rsid w:val="006C55C7"/>
    <w:rsid w:val="006C6FFD"/>
    <w:rsid w:val="006D2D2A"/>
    <w:rsid w:val="006D69DF"/>
    <w:rsid w:val="006E4342"/>
    <w:rsid w:val="006E5510"/>
    <w:rsid w:val="006F2DEE"/>
    <w:rsid w:val="006F7C4E"/>
    <w:rsid w:val="00701A9B"/>
    <w:rsid w:val="0070210E"/>
    <w:rsid w:val="00704A81"/>
    <w:rsid w:val="00714278"/>
    <w:rsid w:val="00724827"/>
    <w:rsid w:val="00737FE0"/>
    <w:rsid w:val="00737FF9"/>
    <w:rsid w:val="00743F06"/>
    <w:rsid w:val="00745404"/>
    <w:rsid w:val="00756D90"/>
    <w:rsid w:val="00764730"/>
    <w:rsid w:val="00777EEE"/>
    <w:rsid w:val="00780B1B"/>
    <w:rsid w:val="00780FD3"/>
    <w:rsid w:val="00782467"/>
    <w:rsid w:val="0078792C"/>
    <w:rsid w:val="00796325"/>
    <w:rsid w:val="0079732F"/>
    <w:rsid w:val="007A75FF"/>
    <w:rsid w:val="007C3F5A"/>
    <w:rsid w:val="007E7C0E"/>
    <w:rsid w:val="007F4952"/>
    <w:rsid w:val="00801C21"/>
    <w:rsid w:val="00810362"/>
    <w:rsid w:val="0081209C"/>
    <w:rsid w:val="0081356F"/>
    <w:rsid w:val="008328DC"/>
    <w:rsid w:val="00836689"/>
    <w:rsid w:val="008433AB"/>
    <w:rsid w:val="00860AA1"/>
    <w:rsid w:val="00861C49"/>
    <w:rsid w:val="00864A82"/>
    <w:rsid w:val="008656F3"/>
    <w:rsid w:val="0087586F"/>
    <w:rsid w:val="00885FE7"/>
    <w:rsid w:val="00894DC9"/>
    <w:rsid w:val="00896270"/>
    <w:rsid w:val="008B0FA9"/>
    <w:rsid w:val="008B2EB5"/>
    <w:rsid w:val="008B51A7"/>
    <w:rsid w:val="008C1728"/>
    <w:rsid w:val="008D4E26"/>
    <w:rsid w:val="008E2307"/>
    <w:rsid w:val="008E7990"/>
    <w:rsid w:val="008F45C5"/>
    <w:rsid w:val="008F7D11"/>
    <w:rsid w:val="00915782"/>
    <w:rsid w:val="00917152"/>
    <w:rsid w:val="00920A73"/>
    <w:rsid w:val="009271FA"/>
    <w:rsid w:val="00927C78"/>
    <w:rsid w:val="00930176"/>
    <w:rsid w:val="0093189D"/>
    <w:rsid w:val="00931D27"/>
    <w:rsid w:val="00942550"/>
    <w:rsid w:val="00951FCA"/>
    <w:rsid w:val="0095325A"/>
    <w:rsid w:val="00973600"/>
    <w:rsid w:val="00973A82"/>
    <w:rsid w:val="00987BDE"/>
    <w:rsid w:val="00994290"/>
    <w:rsid w:val="00995B89"/>
    <w:rsid w:val="009B24AC"/>
    <w:rsid w:val="009B568E"/>
    <w:rsid w:val="009B7EB7"/>
    <w:rsid w:val="009D223F"/>
    <w:rsid w:val="009D647B"/>
    <w:rsid w:val="009D788C"/>
    <w:rsid w:val="009E0C48"/>
    <w:rsid w:val="009E0CD6"/>
    <w:rsid w:val="009E11A7"/>
    <w:rsid w:val="009E17EA"/>
    <w:rsid w:val="009E6745"/>
    <w:rsid w:val="009F5F6F"/>
    <w:rsid w:val="009F729E"/>
    <w:rsid w:val="00A04352"/>
    <w:rsid w:val="00A05AC7"/>
    <w:rsid w:val="00A070C0"/>
    <w:rsid w:val="00A12FAF"/>
    <w:rsid w:val="00A13D94"/>
    <w:rsid w:val="00A220C4"/>
    <w:rsid w:val="00A343FB"/>
    <w:rsid w:val="00A35986"/>
    <w:rsid w:val="00A405F8"/>
    <w:rsid w:val="00A418A5"/>
    <w:rsid w:val="00A63007"/>
    <w:rsid w:val="00A67C1C"/>
    <w:rsid w:val="00A738D0"/>
    <w:rsid w:val="00A7765A"/>
    <w:rsid w:val="00A91C8E"/>
    <w:rsid w:val="00A95739"/>
    <w:rsid w:val="00AA6861"/>
    <w:rsid w:val="00AC358A"/>
    <w:rsid w:val="00AD76DA"/>
    <w:rsid w:val="00AE37C6"/>
    <w:rsid w:val="00B05C8F"/>
    <w:rsid w:val="00B077B2"/>
    <w:rsid w:val="00B20AE2"/>
    <w:rsid w:val="00B37058"/>
    <w:rsid w:val="00B64CD4"/>
    <w:rsid w:val="00B77AAE"/>
    <w:rsid w:val="00B81250"/>
    <w:rsid w:val="00B84232"/>
    <w:rsid w:val="00B849A0"/>
    <w:rsid w:val="00B86DBB"/>
    <w:rsid w:val="00B90BEE"/>
    <w:rsid w:val="00BA18A1"/>
    <w:rsid w:val="00BA4D7E"/>
    <w:rsid w:val="00BC1618"/>
    <w:rsid w:val="00BC6337"/>
    <w:rsid w:val="00BC671A"/>
    <w:rsid w:val="00BE5256"/>
    <w:rsid w:val="00BF4450"/>
    <w:rsid w:val="00BF5978"/>
    <w:rsid w:val="00C122BC"/>
    <w:rsid w:val="00C13802"/>
    <w:rsid w:val="00C20F8A"/>
    <w:rsid w:val="00C20FDA"/>
    <w:rsid w:val="00C22039"/>
    <w:rsid w:val="00C26CB0"/>
    <w:rsid w:val="00C308A8"/>
    <w:rsid w:val="00C31FF5"/>
    <w:rsid w:val="00C435CE"/>
    <w:rsid w:val="00C502B4"/>
    <w:rsid w:val="00C5204C"/>
    <w:rsid w:val="00C5316B"/>
    <w:rsid w:val="00C57AAF"/>
    <w:rsid w:val="00C6258E"/>
    <w:rsid w:val="00C64A91"/>
    <w:rsid w:val="00C66C72"/>
    <w:rsid w:val="00C82FC4"/>
    <w:rsid w:val="00C87362"/>
    <w:rsid w:val="00C900E5"/>
    <w:rsid w:val="00C9072C"/>
    <w:rsid w:val="00C93F0D"/>
    <w:rsid w:val="00CA222D"/>
    <w:rsid w:val="00CB2687"/>
    <w:rsid w:val="00CB48B3"/>
    <w:rsid w:val="00CC203C"/>
    <w:rsid w:val="00CE591A"/>
    <w:rsid w:val="00CE6D1D"/>
    <w:rsid w:val="00CE7B89"/>
    <w:rsid w:val="00CF329F"/>
    <w:rsid w:val="00CF5F44"/>
    <w:rsid w:val="00D21B14"/>
    <w:rsid w:val="00D2281F"/>
    <w:rsid w:val="00D2743F"/>
    <w:rsid w:val="00D275A9"/>
    <w:rsid w:val="00D32C1F"/>
    <w:rsid w:val="00D4321C"/>
    <w:rsid w:val="00D53E37"/>
    <w:rsid w:val="00D55453"/>
    <w:rsid w:val="00D56598"/>
    <w:rsid w:val="00D673E2"/>
    <w:rsid w:val="00DA247C"/>
    <w:rsid w:val="00DB567D"/>
    <w:rsid w:val="00DC2634"/>
    <w:rsid w:val="00DD2D58"/>
    <w:rsid w:val="00DD627F"/>
    <w:rsid w:val="00DD7425"/>
    <w:rsid w:val="00E02462"/>
    <w:rsid w:val="00E04F70"/>
    <w:rsid w:val="00E073A1"/>
    <w:rsid w:val="00E13C02"/>
    <w:rsid w:val="00E145AA"/>
    <w:rsid w:val="00E1554E"/>
    <w:rsid w:val="00E21F50"/>
    <w:rsid w:val="00E220A5"/>
    <w:rsid w:val="00E3422C"/>
    <w:rsid w:val="00E41ED5"/>
    <w:rsid w:val="00E43C9D"/>
    <w:rsid w:val="00E45851"/>
    <w:rsid w:val="00E4707F"/>
    <w:rsid w:val="00E50C7F"/>
    <w:rsid w:val="00E6064E"/>
    <w:rsid w:val="00E67387"/>
    <w:rsid w:val="00E6768F"/>
    <w:rsid w:val="00EA313C"/>
    <w:rsid w:val="00EB0230"/>
    <w:rsid w:val="00EB473F"/>
    <w:rsid w:val="00EB6058"/>
    <w:rsid w:val="00EC5AC3"/>
    <w:rsid w:val="00ED4638"/>
    <w:rsid w:val="00EF275A"/>
    <w:rsid w:val="00F0366C"/>
    <w:rsid w:val="00F06F56"/>
    <w:rsid w:val="00F11C8E"/>
    <w:rsid w:val="00F12D39"/>
    <w:rsid w:val="00F25E3F"/>
    <w:rsid w:val="00F32070"/>
    <w:rsid w:val="00F35FA5"/>
    <w:rsid w:val="00F537B9"/>
    <w:rsid w:val="00F8058A"/>
    <w:rsid w:val="00F8394A"/>
    <w:rsid w:val="00F85752"/>
    <w:rsid w:val="00F8764A"/>
    <w:rsid w:val="00F87739"/>
    <w:rsid w:val="00F92349"/>
    <w:rsid w:val="00F96C1D"/>
    <w:rsid w:val="00FA040A"/>
    <w:rsid w:val="00FA2A38"/>
    <w:rsid w:val="00FA452D"/>
    <w:rsid w:val="00FA4A0C"/>
    <w:rsid w:val="00FB15C5"/>
    <w:rsid w:val="00FB577B"/>
    <w:rsid w:val="00FC100A"/>
    <w:rsid w:val="00FD2A0F"/>
    <w:rsid w:val="00FD688E"/>
    <w:rsid w:val="00FD76A6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85E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58"/>
  </w:style>
  <w:style w:type="paragraph" w:styleId="Heading1">
    <w:name w:val="heading 1"/>
    <w:basedOn w:val="Normal"/>
    <w:next w:val="Normal"/>
    <w:link w:val="Heading1Char"/>
    <w:uiPriority w:val="9"/>
    <w:qFormat/>
    <w:rsid w:val="0095325A"/>
    <w:pPr>
      <w:tabs>
        <w:tab w:val="left" w:pos="720"/>
        <w:tab w:val="left" w:pos="1440"/>
        <w:tab w:val="left" w:pos="2160"/>
        <w:tab w:val="left" w:pos="2880"/>
        <w:tab w:val="left" w:pos="3600"/>
      </w:tabs>
      <w:outlineLvl w:val="0"/>
    </w:pPr>
    <w:rPr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D58"/>
    <w:pPr>
      <w:tabs>
        <w:tab w:val="center" w:pos="4320"/>
        <w:tab w:val="right" w:pos="8640"/>
      </w:tabs>
    </w:pPr>
    <w:rPr>
      <w:rFonts w:ascii="LinePrinter" w:hAnsi="LinePrinter"/>
    </w:rPr>
  </w:style>
  <w:style w:type="paragraph" w:styleId="BodyTextIndent2">
    <w:name w:val="Body Text Indent 2"/>
    <w:basedOn w:val="Normal"/>
    <w:rsid w:val="00DD2D58"/>
    <w:pPr>
      <w:ind w:left="1440"/>
    </w:pPr>
    <w:rPr>
      <w:b/>
      <w:sz w:val="24"/>
    </w:rPr>
  </w:style>
  <w:style w:type="paragraph" w:styleId="BodyTextIndent3">
    <w:name w:val="Body Text Indent 3"/>
    <w:basedOn w:val="Normal"/>
    <w:rsid w:val="00DD2D58"/>
    <w:pPr>
      <w:ind w:left="1437"/>
    </w:pPr>
    <w:rPr>
      <w:b/>
      <w:sz w:val="24"/>
    </w:rPr>
  </w:style>
  <w:style w:type="paragraph" w:styleId="Footer">
    <w:name w:val="footer"/>
    <w:basedOn w:val="Normal"/>
    <w:rsid w:val="009F5F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5F6F"/>
  </w:style>
  <w:style w:type="paragraph" w:styleId="BalloonText">
    <w:name w:val="Balloon Text"/>
    <w:basedOn w:val="Normal"/>
    <w:semiHidden/>
    <w:rsid w:val="008B2EB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3037"/>
    <w:rPr>
      <w:sz w:val="16"/>
      <w:szCs w:val="16"/>
    </w:rPr>
  </w:style>
  <w:style w:type="paragraph" w:styleId="CommentText">
    <w:name w:val="annotation text"/>
    <w:basedOn w:val="Normal"/>
    <w:semiHidden/>
    <w:rsid w:val="00543037"/>
  </w:style>
  <w:style w:type="paragraph" w:styleId="CommentSubject">
    <w:name w:val="annotation subject"/>
    <w:basedOn w:val="CommentText"/>
    <w:next w:val="CommentText"/>
    <w:semiHidden/>
    <w:rsid w:val="0054303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152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15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1715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325A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704A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633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5FA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FA5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3B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2025-08-26T17:41:00Z</dcterms:created>
  <dcterms:modified xsi:type="dcterms:W3CDTF">2025-09-02T12:50:00Z</dcterms:modified>
</cp:coreProperties>
</file>